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73"/>
        </w:tabs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и описание номинаций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номинации – «Лучший сварщик»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соревнованиях участвуют студенты СПО; специалисты строительной отрасли в области сварки;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включает в себя: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теоретическую часть;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практическую часть (2 модуля).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Теоретическое задание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из 20 вопросов. Один правильный ответ на вопрос-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балл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задание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1. РД (111)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left" w:leader="none" w:pos="567"/>
        </w:tabs>
        <w:spacing w:after="160" w:line="259" w:lineRule="auto"/>
        <w:ind w:left="56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Шов №1. Положение В1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ручная дуговая сварка покрытым электродом – труба Сталь 20,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 х 5мм 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09Г2С 150х150х8мм, электроды УОНИИ - 13/55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мм, (КСС 1);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Шов №2. Положение Н45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709" w:right="0" w:hanging="42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ручная дуговая сварка покрытым электродом – труба Сталь 20,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 х 5мм + труба Сталь 20,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 х 5мм, электроды УОНИИ - 13/55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мм, (КСС 1);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84"/>
        </w:tabs>
        <w:spacing w:line="259" w:lineRule="auto"/>
        <w:ind w:left="77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Модуль 2. МП(135)</w:t>
      </w:r>
    </w:p>
    <w:p w:rsidR="00000000" w:rsidDel="00000000" w:rsidP="00000000" w:rsidRDefault="00000000" w:rsidRPr="00000000" w14:paraId="00000017">
      <w:pPr>
        <w:tabs>
          <w:tab w:val="left" w:leader="none" w:pos="284"/>
        </w:tabs>
        <w:spacing w:line="259" w:lineRule="auto"/>
        <w:ind w:left="77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4"/>
        </w:tabs>
        <w:spacing w:line="259" w:lineRule="auto"/>
        <w:ind w:left="56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Шов №1. Положение В1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сварка в защитном газе проволокой сплошного сечения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труба Сталь 20,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 х 5 мм + лист 09Г2С 150х150х8мм, проволока сплошного сечения Св-08Г2С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1,2, двуокись углерода СО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(КСС 2);</w:t>
      </w:r>
    </w:p>
    <w:p w:rsidR="00000000" w:rsidDel="00000000" w:rsidP="00000000" w:rsidRDefault="00000000" w:rsidRPr="00000000" w14:paraId="0000001B">
      <w:pPr>
        <w:tabs>
          <w:tab w:val="left" w:leader="none" w:pos="284"/>
        </w:tabs>
        <w:spacing w:line="259" w:lineRule="auto"/>
        <w:ind w:left="7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Шов №2. Положение Н45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сварка в защитном газе проволокой сплошного сечения– труба Сталь 20,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 х 5 мм + труба Сталь 20,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 х 5 мм, проволока сплошного сечения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Св-08Г2С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1,2, двуокись углерода СО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(КСС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4"/>
        </w:tabs>
        <w:spacing w:line="259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84"/>
        </w:tabs>
        <w:spacing w:line="259" w:lineRule="auto"/>
        <w:ind w:left="56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84"/>
        </w:tabs>
        <w:spacing w:line="259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практического задания: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контрольное нормативное время сварки входит время на выполнение подготовительных операций (подготовка, сборка), процесса сварки, а также зачистки.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оценка конкурсного задания сварщиков складывается из оценок по каждому контрольному сварному соединению (КСС1, КСС2) по следующим группам показателей: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требований данного положения по каждой операции: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ознакомление с технологической картой и чертежом;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оснащенности сварочного поста;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наличия заземления;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работоспособности и исправности сварочного оборудования;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настройка оборудования для выполнения сварки;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основных и сварочных материалов на соответствие тех. карте, с применением измерительных инструментов;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сборки на соответствие тех. карте с применением измерительных инструментов;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технологии сварки;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84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шва и околошовной зоны к неразрушающим методам контроля;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качество контрольного сварного соединения по методам контроля, в зависимости от требований тех. карты (ВИК, УЗК, ПВК);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соблюдение норматива времени, предусмотренного на выполнение практического задания (устанавливается 240 мин.);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теоретические знания в тестовой части задания;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Зачетное время составляет 240 минут, по 120 минут на каждое контрольное сварное соединение;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Хронометраж ведётся с момента команды конкурсной комиссии до полного завершения процесса сварки и зачистки КСС 1, КСС 2.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группа (члены жюри) на протяжении всего практического экзамена должны заполнять оценочный лист по факту производимых операций сварщиком, следить за соблюдением технологии сварки, а также следить за соблюдением техники безопасности. В случае нарушений, исходя из данного положения, жюри принимает решение о любых спорных вопросах, касающихся практического экзамена и отстранения сварщика от конкурса.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входному контролю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Входной контроль применяется для основного и сварочных материалов.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соответствия геометрических размеров деталей соединения чертежу;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сварочных материалов на соответствие технологической карте;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обнаружении дефектов на основном материале предъявить деталь члену жюри для замены;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Сообщить о результатах члену жюри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сборке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сборкой детали необходимо зачистить от загрязнений.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Настройку оборудования осуществлять на тренировочных пластинах.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Сборку осуществлять на прихватках, на сварочном столе, в сборочном приспособлении, в любом пространственном положении.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Прихватки должны быть выполнены тем же способом сварки и сварочными материалами, что и сварной шов.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трубных соединений не разрешается ставить прихватки в потолочной позиции, на 5-7 часов.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Конструктивные параметры подготовленных кромок свариваемых деталей во время сборки определены в тех. карте и НТД (ГОСТ 11534-75– листовые соединения, выполненные ручной дуговой сваркой, ГОСТ 16037-80 – трубные соединения, ГОСТ 14771-76 – листовые соединения, выполненные сваркой в среде защитных газов).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Произвести контроль сборки в соответствии с тех. картой при помощи измерительных инструментов.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прихваток предъявляются те же, что и для основного шва.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наличии следов влаги на кромках следует протереть ее ветошью до удаления следов влаги.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обнаружении некачественной сборки, разрешается трижды разобрать собранное соединение, перед этим уведомив члена жюри. После третьего раза будет засчитано 0 балов. Решение по любому спору выносится на усмотрение жюри.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Сообщить о результатах члену жюри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сварке.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Деталь необходимо установить в сварочном приспособлении, в пространственное положение, соответствующее технологической карте. Для трубных деталей сварщик должен отметить точку, соответствующую 12 часам, для дальнейшего контроля положения.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Сообщить члену жюри о готовности к сварке. Без получения подтверждения, контрольное сварное соединение не допускается к сварке.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соединения должны быть выполнены односторонней сваркой с полным проваром, за исключением таврового. Тавровое соединение выполняется без полного провара.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сварки КСС 1, КСС 2, должна быть соблюдена в соответствии с технологическими картами.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сварки контрольных сварных соединений следующий: КСС 1, КСС 2.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сварки запрещено менять пространственное положение. В случае нарушения сварщик будет отстранен от дальнейшего участия.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Вращать трубу вокруг своей оси во время сварки – запрещено. Положение Н45 является неповоротным. Сварку вести снизу-вверх.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межслойной зачистке деталь необходимо снять, произвести зачистку, после чего установить в прежнее положение для продолжения сварки.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Сварка выполняется минимум в два слоя, после каждого слоя необходимо выполнять межслойную зачистку, при помощи ручных инструментов (металлическая щетка, молоток сварщика) или УШМ (угловая шлифмашина).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Зажигание дуги производится в разделке кромок. Разбивать шов на участки следует так, чтобы стыки участков («замки» швов) в соседних слоях не совпадали, а были смещены на величину не менее 20мм.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Требование к клеймению.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завершения сварки контрольного сварного соединения сварщику необходимо зачистить, при помощи ручных вспомогательных инструментов(металлическая щетка, молоток сварщика) и УШМ(угловая шлифмашина), зону шва и околошовную зону не менее, чем на 20мм, с каждой стороны шва, от брызг металла, окалины, и др. загрязнений, препятствующих дальнейшему контролю. Зачистка облицовочного слоя, а также исправление дефектов в облицовочном слое сварного шва, при помощи УШМ, запрещено. При наличии загрязнений, препятствующих контролю, контрольное сварное соединение не допускается к неразрушающему контролю, а сварщик отстраняется.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зачистки, сварщику необходимо сообщить члену жюри об окончании сварки, далее член жюри ставит клеймо на сварном соединении на расстоянии 80-100 мм от шва и передает на контроль качества.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Спорные вопросы решаются членами жюри.</w:t>
      </w:r>
    </w:p>
    <w:p w:rsidR="00000000" w:rsidDel="00000000" w:rsidP="00000000" w:rsidRDefault="00000000" w:rsidRPr="00000000" w14:paraId="0000005A">
      <w:pPr>
        <w:tabs>
          <w:tab w:val="left" w:leader="none" w:pos="284"/>
        </w:tabs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1. РД (111)</w:t>
      </w:r>
    </w:p>
    <w:tbl>
      <w:tblPr>
        <w:tblStyle w:val="Table1"/>
        <w:tblW w:w="9741.0" w:type="dxa"/>
        <w:jc w:val="left"/>
        <w:tblInd w:w="-5.0" w:type="dxa"/>
        <w:tblLayout w:type="fixed"/>
        <w:tblLook w:val="0000"/>
      </w:tblPr>
      <w:tblGrid>
        <w:gridCol w:w="2399"/>
        <w:gridCol w:w="2363"/>
        <w:gridCol w:w="2590"/>
        <w:gridCol w:w="2389"/>
        <w:tblGridChange w:id="0">
          <w:tblGrid>
            <w:gridCol w:w="2399"/>
            <w:gridCol w:w="2363"/>
            <w:gridCol w:w="2590"/>
            <w:gridCol w:w="238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КОНСТРУКТИВНЫЕ ЭЛЕМЕНТЫ СОЕДИНЕНИЯ И СВАРНОГО ШВА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Т5 ГОСТ 11534-75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С17 ГОСТ 16037-80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628775" cy="1114425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628775" cy="1038225"/>
                  <wp:effectExtent b="0" l="0" r="0" t="0"/>
                  <wp:docPr id="1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762125" cy="1152525"/>
                  <wp:effectExtent b="0" l="0" r="0" t="0"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647825" cy="1133475"/>
                  <wp:effectExtent b="0" l="0" r="0" t="0"/>
                  <wp:docPr id="2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638.000000000001" w:type="dxa"/>
              <w:jc w:val="left"/>
              <w:tblLayout w:type="fixed"/>
              <w:tblLook w:val="0000"/>
            </w:tblPr>
            <w:tblGrid>
              <w:gridCol w:w="510"/>
              <w:gridCol w:w="481"/>
              <w:gridCol w:w="1468"/>
              <w:gridCol w:w="1418"/>
              <w:gridCol w:w="761"/>
              <w:tblGridChange w:id="0">
                <w:tblGrid>
                  <w:gridCol w:w="510"/>
                  <w:gridCol w:w="481"/>
                  <w:gridCol w:w="1468"/>
                  <w:gridCol w:w="1418"/>
                  <w:gridCol w:w="761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S, мм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subscript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e=g,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α, град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b, мм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y, град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45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5,0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8,0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3-6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0-2,0</w:t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853.0" w:type="dxa"/>
              <w:jc w:val="left"/>
              <w:tblLayout w:type="fixed"/>
              <w:tblLook w:val="0000"/>
            </w:tblPr>
            <w:tblGrid>
              <w:gridCol w:w="754"/>
              <w:gridCol w:w="784"/>
              <w:gridCol w:w="841"/>
              <w:gridCol w:w="840"/>
              <w:gridCol w:w="792"/>
              <w:gridCol w:w="842"/>
              <w:tblGridChange w:id="0">
                <w:tblGrid>
                  <w:gridCol w:w="754"/>
                  <w:gridCol w:w="784"/>
                  <w:gridCol w:w="841"/>
                  <w:gridCol w:w="840"/>
                  <w:gridCol w:w="792"/>
                  <w:gridCol w:w="842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Dn,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S,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b,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с,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е,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g, мм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42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5,0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1,5-2,0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0,5-1,5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9-11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0,5-3,0</w:t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keepNext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tabs>
          <w:tab w:val="left" w:leader="none" w:pos="284"/>
        </w:tabs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284"/>
        </w:tabs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210505" cy="3686432"/>
            <wp:effectExtent b="0" l="0" r="0" t="0"/>
            <wp:docPr descr="C:\Users\v.weissberg\Desktop\75fe4073-b62b-4cb4-8328-14d00fbb9f91.jpg" id="19" name="image8.jpg"/>
            <a:graphic>
              <a:graphicData uri="http://schemas.openxmlformats.org/drawingml/2006/picture">
                <pic:pic>
                  <pic:nvPicPr>
                    <pic:cNvPr descr="C:\Users\v.weissberg\Desktop\75fe4073-b62b-4cb4-8328-14d00fbb9f91.jpg" id="0" name="image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505" cy="3686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284"/>
        </w:tabs>
        <w:spacing w:line="259" w:lineRule="auto"/>
        <w:ind w:left="77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Модуль 2. МП(135)</w:t>
      </w:r>
    </w:p>
    <w:tbl>
      <w:tblPr>
        <w:tblStyle w:val="Table4"/>
        <w:tblW w:w="9812.0" w:type="dxa"/>
        <w:jc w:val="left"/>
        <w:tblInd w:w="-85.0" w:type="dxa"/>
        <w:tblLayout w:type="fixed"/>
        <w:tblLook w:val="0000"/>
      </w:tblPr>
      <w:tblGrid>
        <w:gridCol w:w="2114"/>
        <w:gridCol w:w="2070"/>
        <w:gridCol w:w="2904"/>
        <w:gridCol w:w="2724"/>
        <w:tblGridChange w:id="0">
          <w:tblGrid>
            <w:gridCol w:w="2114"/>
            <w:gridCol w:w="2070"/>
            <w:gridCol w:w="2904"/>
            <w:gridCol w:w="272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keepNext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КОНСТРУКТИВНЫЕ ЭЛЕМЕНТЫ СОЕДИНЕНИЯ И СВАРНОГО ШВА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Т1 ГОСТ 14771-76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С17 ГОСТ 16037-80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</w:rPr>
              <w:drawing>
                <wp:inline distB="0" distT="0" distL="0" distR="0">
                  <wp:extent cx="952500" cy="819150"/>
                  <wp:effectExtent b="0" l="0" r="0" t="0"/>
                  <wp:docPr id="2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085850" cy="771525"/>
                  <wp:effectExtent b="0" l="0" r="0" t="0"/>
                  <wp:docPr id="21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762125" cy="1152525"/>
                  <wp:effectExtent b="0" l="0" r="0" t="0"/>
                  <wp:docPr id="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647825" cy="1133475"/>
                  <wp:effectExtent b="0" l="0" r="0" t="0"/>
                  <wp:docPr id="2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060.0" w:type="dxa"/>
              <w:jc w:val="left"/>
              <w:tblLayout w:type="fixed"/>
              <w:tblLook w:val="0000"/>
            </w:tblPr>
            <w:tblGrid>
              <w:gridCol w:w="495"/>
              <w:gridCol w:w="468"/>
              <w:gridCol w:w="1308"/>
              <w:gridCol w:w="1789"/>
              <w:tblGridChange w:id="0">
                <w:tblGrid>
                  <w:gridCol w:w="495"/>
                  <w:gridCol w:w="468"/>
                  <w:gridCol w:w="1308"/>
                  <w:gridCol w:w="1789"/>
                </w:tblGrid>
              </w:tblGridChange>
            </w:tblGrid>
            <w:tr>
              <w:trPr>
                <w:cantSplit w:val="1"/>
                <w:trHeight w:val="2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S,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subscript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b,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К, мм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5,0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8,0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0-1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4,0-6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1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1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502.0" w:type="dxa"/>
              <w:jc w:val="left"/>
              <w:tblLayout w:type="fixed"/>
              <w:tblLook w:val="0000"/>
            </w:tblPr>
            <w:tblGrid>
              <w:gridCol w:w="850"/>
              <w:gridCol w:w="893"/>
              <w:gridCol w:w="952"/>
              <w:gridCol w:w="951"/>
              <w:gridCol w:w="903"/>
              <w:gridCol w:w="953"/>
              <w:tblGridChange w:id="0">
                <w:tblGrid>
                  <w:gridCol w:w="850"/>
                  <w:gridCol w:w="893"/>
                  <w:gridCol w:w="952"/>
                  <w:gridCol w:w="951"/>
                  <w:gridCol w:w="903"/>
                  <w:gridCol w:w="953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Dn,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S,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b,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с,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е, мм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g, мм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42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5,0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1,5-2,0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0,5-1,5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9-11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keepNext w:val="1"/>
                    <w:jc w:val="center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0,5-3,0</w:t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keepNext w:val="1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leader="none" w:pos="284"/>
        </w:tabs>
        <w:spacing w:line="259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83742" cy="3879747"/>
            <wp:effectExtent b="0" l="0" r="0" t="0"/>
            <wp:docPr descr="C:\Users\v.weissberg\Desktop\f90d633d-15d1-40bb-b619-539fc966c3b4.jpg" id="25" name="image1.jpg"/>
            <a:graphic>
              <a:graphicData uri="http://schemas.openxmlformats.org/drawingml/2006/picture">
                <pic:pic>
                  <pic:nvPicPr>
                    <pic:cNvPr descr="C:\Users\v.weissberg\Desktop\f90d633d-15d1-40bb-b619-539fc966c3b4.jpg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3742" cy="3879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</w:t>
      </w:r>
    </w:p>
    <w:tbl>
      <w:tblPr>
        <w:tblStyle w:val="Table7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2"/>
        <w:gridCol w:w="3402"/>
        <w:tblGridChange w:id="0">
          <w:tblGrid>
            <w:gridCol w:w="6232"/>
            <w:gridCol w:w="3402"/>
          </w:tblGrid>
        </w:tblGridChange>
      </w:tblGrid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Предоставляет организатор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Баллон с защитным газом СО2 (полный), 40л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Бухта сварочной проволоки сплошного сечения </w:t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СВ-08Г2С – 1,2мм (не менее 5кг)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Ведро оцинкованное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Газовый редуктор с расходомером (CO2) с подогревателем 36В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Гидравлический опрессовщик электрический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Диск абразивный отрезной по углеродистой стали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шт 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Диск абразивный шлифовальный по углеродистой стали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шт 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Диэлектрическая дорожка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Емкость открытая пластиковая 200л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Набор ключей для закрепления оснастки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Комплект деталей для Конструкции Модуль РД (111)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Комплект деталей для Конструкции Модуль МП (135)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Комплект для подающего устройства под проволоку 1,2мм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Контактный наконечник под проволоку 1,2мм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шт 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Лоток вертикальный 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Механизм подачи проволоки 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Огнетушитель углекислотный ОУ-1 (ОУ-2, ОУ-3) для тушения электроустановок под напряжением 5 л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Папка для документов с кольцами большая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Электроды УОНИИ 13/55 дм. 3.0мм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упаковка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Печь для прокалки электродов на 40 кг 350-500С с КСП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Плоскогубцы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Пневматический пистолет с гибким шлангом (воздухомет) для осушения модуля*****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Поршневой компрессор*****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Сборочно-сварочный стол* 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Сварочная горелка 3м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Сварочная кабина со шторами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Сварочный аппарат для 111**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Сварочный кабель с электрододержателем 111 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Совок металлический с длинной ручкой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Сопло для горелки 135 процесса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шт 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Спрей для горелки 135 процесса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Табурет подъемно-поворотный ТБ-01*****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Тележка инструментальная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Тиски слесарные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Тренировочная стальная пластина Ст3;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Углошлифовальная машина 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Фильтровентиляционная установка с радиусом ПУУ 2 м*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Цепь крепления сварочных баллонов (Ложемент для крепления баллонов)***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Комплект шаблонов сварщика: УШС-1 (либо Ушерова-Маршака) и УШС-3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По 1 шт (на 1 сварочный пост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Шариковая ручка 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Шланг (рукав) III - класса ГОСТ 9356-75 для защитного газа к сварочному аппарату (3метра)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Щетка витая стальная (тарелка)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Источник питания для 135 MIG/MAG (указать конкретную марку оборудования)**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Кабель заземления с зажимом 111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Кабель заземления с зажимом 135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Местный источник освещения не менее 300 лк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Прожектор светодиодный (в зону ОТК)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Розетка 220В****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Металлическая щетка ручная (узкая)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Чашеобразная стальная щетка для УШМ 125х22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Тарелкообразная стальная щетка для УШМ125х22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Молоток-шлакоотделитель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Молоток слесарный 500гр.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Зубило слесарное 200мм (стальное)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Бокорезы 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Магнитные угольники 100х100 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Линейка металлическая о 500мм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шт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Угловая линейка УП 60х40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Карандаш графитовый HВ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Штангенциркуль не менее 150мм с глубиномером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Маркер по металлу 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Блокнот А5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Напильник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Ветошь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п/м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Шлифовальная бумага Р-80 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Приспособление (оснастка) с комплектом крепежа  фиксации трубы в положении Н-L045 PC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шт  (на 1 сварочный пост)</w:t>
            </w:r>
          </w:p>
        </w:tc>
      </w:tr>
    </w:tbl>
    <w:p w:rsidR="00000000" w:rsidDel="00000000" w:rsidP="00000000" w:rsidRDefault="00000000" w:rsidRPr="00000000" w14:paraId="000001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- возможно применение сварочного вытяжного стола на каждое рабочее место</w:t>
      </w:r>
    </w:p>
    <w:p w:rsidR="00000000" w:rsidDel="00000000" w:rsidP="00000000" w:rsidRDefault="00000000" w:rsidRPr="00000000" w14:paraId="000001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rtl w:val="0"/>
        </w:rPr>
        <w:t xml:space="preserve"> - возможно применение универсального источника </w:t>
      </w:r>
    </w:p>
    <w:p w:rsidR="00000000" w:rsidDel="00000000" w:rsidP="00000000" w:rsidRDefault="00000000" w:rsidRPr="00000000" w14:paraId="000001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 - возможно применение сварочной тележки 135 процесса с креплением баллона</w:t>
      </w:r>
    </w:p>
    <w:p w:rsidR="00000000" w:rsidDel="00000000" w:rsidP="00000000" w:rsidRDefault="00000000" w:rsidRPr="00000000" w14:paraId="000001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 - сварочный пост должен быть обеспечен розеткой подключения электроинструмента 220В</w:t>
      </w:r>
    </w:p>
    <w:p w:rsidR="00000000" w:rsidDel="00000000" w:rsidP="00000000" w:rsidRDefault="00000000" w:rsidRPr="00000000" w14:paraId="000001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 - на усмотрение организаторов</w:t>
      </w:r>
    </w:p>
    <w:p w:rsidR="00000000" w:rsidDel="00000000" w:rsidP="00000000" w:rsidRDefault="00000000" w:rsidRPr="00000000" w14:paraId="000001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2"/>
        <w:gridCol w:w="3402"/>
        <w:tblGridChange w:id="0">
          <w:tblGrid>
            <w:gridCol w:w="6232"/>
            <w:gridCol w:w="340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Использование личного инструмента (привозит участник)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4D">
            <w:pPr>
              <w:ind w:firstLine="70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Щиток для работы с УШМ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Маска сварочная –хамелеон (запасной светофильтр)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Беруши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набор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Респиратор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Костюм сварщика (подшлемник, куртка, штаны)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Обувь сварочная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шт  (на 1 конкурсанта)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Краги сварщика для ММА и MIG/MAG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шт (на 1 конкурсанта)</w:t>
            </w:r>
          </w:p>
        </w:tc>
      </w:tr>
    </w:tbl>
    <w:p w:rsidR="00000000" w:rsidDel="00000000" w:rsidP="00000000" w:rsidRDefault="00000000" w:rsidRPr="00000000" w14:paraId="000001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Личный инструмент (привозит участник) не предоставляется организатором</w:t>
      </w:r>
    </w:p>
    <w:p w:rsidR="00000000" w:rsidDel="00000000" w:rsidP="00000000" w:rsidRDefault="00000000" w:rsidRPr="00000000" w14:paraId="000001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Запрещается использовать: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157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медные подкладки или керамические подкладочные ленты /пластины.</w:t>
      </w:r>
    </w:p>
    <w:p w:rsidR="00000000" w:rsidDel="00000000" w:rsidP="00000000" w:rsidRDefault="00000000" w:rsidRPr="00000000" w14:paraId="000001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Ограничивающие устройства не должны применяться при сварке конструкции. Перечень ограничивающих устройств: зажимы, колодки, сварочные кондукторы или стальные пластины, приваренные к испытательным пластинам прихваточным швом.</w:t>
      </w:r>
    </w:p>
    <w:p w:rsidR="00000000" w:rsidDel="00000000" w:rsidP="00000000" w:rsidRDefault="00000000" w:rsidRPr="00000000" w14:paraId="000001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 и инструменты</w:t>
      </w:r>
    </w:p>
    <w:p w:rsidR="00000000" w:rsidDel="00000000" w:rsidP="00000000" w:rsidRDefault="00000000" w:rsidRPr="00000000" w14:paraId="000001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Требования к обеспечению зоны (коммуникации, площадь, сети, количество рабочих мест и др.):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1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Площадь зоны: не менее 6 кв.м. на 1 сварочный пост</w:t>
        <w:tab/>
        <w:tab/>
      </w:r>
    </w:p>
    <w:p w:rsidR="00000000" w:rsidDel="00000000" w:rsidP="00000000" w:rsidRDefault="00000000" w:rsidRPr="00000000" w14:paraId="000001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Освещение: Минимум 1 источник света на каждый пост, высокий уровень освещённости </w:t>
        <w:tab/>
        <w:tab/>
        <w:tab/>
      </w:r>
    </w:p>
    <w:p w:rsidR="00000000" w:rsidDel="00000000" w:rsidP="00000000" w:rsidRDefault="00000000" w:rsidRPr="00000000" w14:paraId="000001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Интернет: Подключение ноутбуков к беспроводному интернету (с возможностью подключения к проводному интернету) </w:t>
        <w:tab/>
        <w:tab/>
        <w:tab/>
        <w:tab/>
        <w:tab/>
      </w:r>
    </w:p>
    <w:p w:rsidR="00000000" w:rsidDel="00000000" w:rsidP="00000000" w:rsidRDefault="00000000" w:rsidRPr="00000000" w14:paraId="000001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Электричество: подключения к сети по (220 Вольт и 380 Вольт) – обязательный контроль стабильности напряжения при параллельной работе сварочных  аппаратов</w:t>
      </w:r>
    </w:p>
    <w:p w:rsidR="00000000" w:rsidDel="00000000" w:rsidP="00000000" w:rsidRDefault="00000000" w:rsidRPr="00000000" w14:paraId="000001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Покрытие пола: не горючее покрытие не менее 6 кв.м. на 1 сварочный пост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Специальные требования техники безопасности:</w:t>
      </w:r>
    </w:p>
    <w:p w:rsidR="00000000" w:rsidDel="00000000" w:rsidP="00000000" w:rsidRDefault="00000000" w:rsidRPr="00000000" w14:paraId="000001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 выполнению конкурсного задания по номинации «Лучший сварщик» допускаются участники Конкурса,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Сварщик, профессиональные навыки по электросварочным работам и имеющие необходимые навыки по эксплуатации инструмента, приспособлений и сварочного оборудования.</w:t>
      </w:r>
    </w:p>
    <w:p w:rsidR="00000000" w:rsidDel="00000000" w:rsidP="00000000" w:rsidRDefault="00000000" w:rsidRPr="00000000" w14:paraId="000001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Средства индивидуальной защиты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специализированный костюм сварщика, предназначенный для защиты от искр, брызг расплавленного металла, окалины, излучений сварочной дуги;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специализированная обувь сварщика, предназначенная для защиты ног от теплового излучения, контакта с нагретыми поверхностями, искр, брызг расплавленного металла;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подшлемник;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краги сварщика для выполнения ручной дуговой сварки плавящимся покрытым электродом и частично механизированной сварки (наплавки) плавлением проволокой сплошного сечения в среде защитного газа и их смесей;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перчатки сварщика для выполнения ручной дуговой сварки неплавящимся электродом в среде защитного газа;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маска сварочная;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респиратор;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защитный щиток для выполнения подготовки металла к сварке, зачистке сварных швов.</w:t>
      </w:r>
    </w:p>
    <w:p w:rsidR="00000000" w:rsidDel="00000000" w:rsidP="00000000" w:rsidRDefault="00000000" w:rsidRPr="00000000" w14:paraId="0000017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Ознакомление с конструкторской и производственно-технологической документацией по сварке. Пользоваться тех. картой.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оснащенности сварочного поста РД/МП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и проверка сварочных материалов для РД/МП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наличия заземления сварочного поста РД/МП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 работоспособности и исправности оборудования поста РД/МП Проверять работоспособность и исправность сварочного оборудования для РД/МП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Настройка оборудования РД/МП для выполнения сварки. Настраивать сварочное оборудование для РД/МП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Зачистка ручным или механизированным инструментом элементов конструкции под сварку. Использовать ручной и механизированный инструмент для подготовки элементов конструкции под сварку, зачистки сварных швов и удаления поверхностных дефектов после сварки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 элементов конструкции сварку с применением сборочных приспособлений. Применять сборочные приспособления для сборки элементов конструкции под сварку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с применением измерительного инструмента подготовленных и собранных с применением сборочных приспособлений элементов конструкции на соответствие геометрических размеров требованиям конструкторской и производственно-технологической документации по сварке. Использовать измерительный инструмент для контроля собранных элементов конструкции на соответствие геометрических размеров требованиям тех. карты.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 элементов конструкции под сварку на прихватках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с применением измерительного инструмента подготовленных и собранных на прихватках элементов конструкции на соответствие геометрических размеров требованиям конструкторской и производственно-технологической документации по сварке. Использовать измерительный инструмент для контроля собранных элементов конструкции на соответствие геометрических размеров требованиям тех. карты.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пространственного положения сварного шва для сварки элементов конструкции. Выбирать пространственное положение сварного шва для сварки элементов конструкции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РД/МП простых деталей неответственных конструкций. Выбирать пространственное положение сварного шва для РД/МП. Владеть техникой РД/МП простых деталей неответственных конструкций в нижнем, вертикальном и горизонтальном пространственном положении сварного шва.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Удаление ручным или механизированным инструментом поверхностных дефектов (поры, шлаковые включения, подрезы, брызги металла, наплывы и т.д.)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Зачистка ручным или механизированным инструментом прилегающих к сварным швам поверхностей деталей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с применением измерительного инструмента сваренных РД/МП деталей на соответствие геометрических размеров требованиям конструкторской и производственно-технологической документации по сварке. Контролировать с применением измерительного инструмента сваренные РД/МП детали на соответствие геометрических размеров по требованиям тех. карты.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времени выполнения задания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контроля качества</w:t>
      </w:r>
    </w:p>
    <w:p w:rsidR="00000000" w:rsidDel="00000000" w:rsidP="00000000" w:rsidRDefault="00000000" w:rsidRPr="00000000" w14:paraId="00000189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Критерии оценки конструкции доводятся участникам перед началом выполнения задания. Максимальная сумма по практической части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100 баллов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567" w:top="567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erdana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-143509</wp:posOffset>
          </wp:positionH>
          <wp:positionV relativeFrom="page">
            <wp:posOffset>138002</wp:posOffset>
          </wp:positionV>
          <wp:extent cx="1201480" cy="1234440"/>
          <wp:effectExtent b="0" l="0" r="0" t="0"/>
          <wp:wrapNone/>
          <wp:docPr descr="C:\Users\ParikovaE\AppData\Local\Microsoft\Windows\INetCache\Content.Outlook\2HX9YW69\эмблема (002).jpg" id="15" name="image2.jpg"/>
          <a:graphic>
            <a:graphicData uri="http://schemas.openxmlformats.org/drawingml/2006/picture">
              <pic:pic>
                <pic:nvPicPr>
                  <pic:cNvPr descr="C:\Users\ParikovaE\AppData\Local\Microsoft\Windows\INetCache\Content.Outlook\2HX9YW69\эмблема (002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480" cy="1234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КОНКУРСНОЕ ЗАДАНИЕ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5140355</wp:posOffset>
          </wp:positionH>
          <wp:positionV relativeFrom="paragraph">
            <wp:posOffset>-99103</wp:posOffset>
          </wp:positionV>
          <wp:extent cx="1411073" cy="909197"/>
          <wp:effectExtent b="0" l="0" r="0" t="0"/>
          <wp:wrapNone/>
          <wp:docPr id="1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073" cy="9091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D">
    <w:pPr>
      <w:spacing w:line="300" w:lineRule="auto"/>
      <w:ind w:left="1560" w:right="1382" w:firstLine="0"/>
      <w:jc w:val="center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Национального конкурса профессионального мастерства </w:t>
    </w:r>
  </w:p>
  <w:p w:rsidR="00000000" w:rsidDel="00000000" w:rsidP="00000000" w:rsidRDefault="00000000" w:rsidRPr="00000000" w14:paraId="0000018E">
    <w:pPr>
      <w:spacing w:line="300" w:lineRule="auto"/>
      <w:jc w:val="center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«СТРОЙМАСТЕР-2023»</w:t>
    </w:r>
  </w:p>
  <w:p w:rsidR="00000000" w:rsidDel="00000000" w:rsidP="00000000" w:rsidRDefault="00000000" w:rsidRPr="00000000" w14:paraId="000001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в номинации «Лучший сварщик»</w:t>
    </w:r>
  </w:p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  <w:b w:val="0"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●.▪.%4."/>
      <w:lvlJc w:val="left"/>
      <w:pPr>
        <w:ind w:left="1728" w:hanging="647.9999999999998"/>
      </w:pPr>
      <w:rPr/>
    </w:lvl>
    <w:lvl w:ilvl="4">
      <w:start w:val="1"/>
      <w:numFmt w:val="decimal"/>
      <w:lvlText w:val="%1.●.▪.%4.%5."/>
      <w:lvlJc w:val="left"/>
      <w:pPr>
        <w:ind w:left="2232" w:hanging="792"/>
      </w:pPr>
      <w:rPr/>
    </w:lvl>
    <w:lvl w:ilvl="5">
      <w:start w:val="1"/>
      <w:numFmt w:val="decimal"/>
      <w:lvlText w:val="%1.●.▪.%4.%5.%6."/>
      <w:lvlJc w:val="left"/>
      <w:pPr>
        <w:ind w:left="2736" w:hanging="935.9999999999998"/>
      </w:pPr>
      <w:rPr/>
    </w:lvl>
    <w:lvl w:ilvl="6">
      <w:start w:val="1"/>
      <w:numFmt w:val="decimal"/>
      <w:lvlText w:val="%1.●.▪.%4.%5.%6.%7."/>
      <w:lvlJc w:val="left"/>
      <w:pPr>
        <w:ind w:left="3240" w:hanging="1080"/>
      </w:pPr>
      <w:rPr/>
    </w:lvl>
    <w:lvl w:ilvl="7">
      <w:start w:val="1"/>
      <w:numFmt w:val="decimal"/>
      <w:lvlText w:val="%1.●.▪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▪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7"/>
      <w:numFmt w:val="decimal"/>
      <w:lvlText w:val="%2."/>
      <w:lvlJc w:val="left"/>
      <w:pPr>
        <w:ind w:left="108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1728" w:hanging="647.9999999999998"/>
      </w:pPr>
      <w:rPr/>
    </w:lvl>
    <w:lvl w:ilvl="4">
      <w:start w:val="1"/>
      <w:numFmt w:val="decimal"/>
      <w:lvlText w:val="%1.%2.●.%4.%5."/>
      <w:lvlJc w:val="left"/>
      <w:pPr>
        <w:ind w:left="2232" w:hanging="792"/>
      </w:pPr>
      <w:rPr/>
    </w:lvl>
    <w:lvl w:ilvl="5">
      <w:start w:val="1"/>
      <w:numFmt w:val="decimal"/>
      <w:lvlText w:val="%1.%2.●.%4.%5.%6."/>
      <w:lvlJc w:val="left"/>
      <w:pPr>
        <w:ind w:left="2736" w:hanging="935.9999999999998"/>
      </w:pPr>
      <w:rPr/>
    </w:lvl>
    <w:lvl w:ilvl="6">
      <w:start w:val="1"/>
      <w:numFmt w:val="decimal"/>
      <w:lvlText w:val="%1.%2.●.%4.%5.%6.%7."/>
      <w:lvlJc w:val="left"/>
      <w:pPr>
        <w:ind w:left="3240" w:hanging="1080"/>
      </w:pPr>
      <w:rPr/>
    </w:lvl>
    <w:lvl w:ilvl="7">
      <w:start w:val="1"/>
      <w:numFmt w:val="decimal"/>
      <w:lvlText w:val="%1.%2.●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4320" w:hanging="1440"/>
      </w:pPr>
      <w:rPr/>
    </w:lvl>
  </w:abstractNum>
  <w:abstractNum w:abstractNumId="13">
    <w:lvl w:ilvl="0">
      <w:start w:val="1"/>
      <w:numFmt w:val="decimal"/>
      <w:lvlText w:val="1.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00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932" w:hanging="504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2436" w:hanging="648"/>
      </w:pPr>
      <w:rPr/>
    </w:lvl>
    <w:lvl w:ilvl="4">
      <w:start w:val="1"/>
      <w:numFmt w:val="decimal"/>
      <w:lvlText w:val="%1.%2.●.%4.%5."/>
      <w:lvlJc w:val="left"/>
      <w:pPr>
        <w:ind w:left="2940" w:hanging="792"/>
      </w:pPr>
      <w:rPr/>
    </w:lvl>
    <w:lvl w:ilvl="5">
      <w:start w:val="1"/>
      <w:numFmt w:val="decimal"/>
      <w:lvlText w:val="%1.%2.●.%4.%5.%6."/>
      <w:lvlJc w:val="left"/>
      <w:pPr>
        <w:ind w:left="3444" w:hanging="936"/>
      </w:pPr>
      <w:rPr/>
    </w:lvl>
    <w:lvl w:ilvl="6">
      <w:start w:val="1"/>
      <w:numFmt w:val="decimal"/>
      <w:lvlText w:val="%1.%2.●.%4.%5.%6.%7."/>
      <w:lvlJc w:val="left"/>
      <w:pPr>
        <w:ind w:left="3948" w:hanging="1080"/>
      </w:pPr>
      <w:rPr/>
    </w:lvl>
    <w:lvl w:ilvl="7">
      <w:start w:val="1"/>
      <w:numFmt w:val="decimal"/>
      <w:lvlText w:val="%1.%2.●.%4.%5.%6.%7.%8."/>
      <w:lvlJc w:val="left"/>
      <w:pPr>
        <w:ind w:left="4452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5028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  <w:rsid w:val="005E2F35"/>
    <w:rPr>
      <w:sz w:val="24"/>
      <w:szCs w:val="24"/>
      <w:lang w:eastAsia="ja-JP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Subtitle"/>
    <w:basedOn w:val="a0"/>
    <w:link w:val="a5"/>
    <w:qFormat w:val="1"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styleId="a5" w:customStyle="1">
    <w:name w:val="Подзаголовок Знак"/>
    <w:basedOn w:val="a1"/>
    <w:link w:val="a4"/>
    <w:locked w:val="1"/>
    <w:rsid w:val="00F74691"/>
    <w:rPr>
      <w:rFonts w:ascii="Arial" w:hAnsi="Arial"/>
      <w:sz w:val="24"/>
      <w:lang w:bidi="ar-SA" w:eastAsia="ru-RU" w:val="ru-RU"/>
    </w:rPr>
  </w:style>
  <w:style w:type="paragraph" w:styleId="a6">
    <w:name w:val="Balloon Text"/>
    <w:basedOn w:val="a0"/>
    <w:link w:val="a7"/>
    <w:rsid w:val="004677E8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1"/>
    <w:link w:val="a6"/>
    <w:rsid w:val="004677E8"/>
    <w:rPr>
      <w:rFonts w:ascii="Tahoma" w:cs="Tahoma" w:hAnsi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 w:val="1"/>
    <w:rsid w:val="00B5608A"/>
    <w:pPr>
      <w:ind w:left="720"/>
      <w:contextualSpacing w:val="1"/>
    </w:pPr>
  </w:style>
  <w:style w:type="paragraph" w:styleId="a9">
    <w:name w:val="header"/>
    <w:basedOn w:val="a0"/>
    <w:link w:val="aa"/>
    <w:unhideWhenUsed w:val="1"/>
    <w:rsid w:val="002E5DBC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iPriority w:val="99"/>
    <w:unhideWhenUsed w:val="1"/>
    <w:rsid w:val="002E5DBC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1"/>
    <w:link w:val="ab"/>
    <w:uiPriority w:val="99"/>
    <w:rsid w:val="002E5DBC"/>
    <w:rPr>
      <w:sz w:val="24"/>
      <w:szCs w:val="24"/>
      <w:lang w:eastAsia="ja-JP"/>
    </w:rPr>
  </w:style>
  <w:style w:type="table" w:styleId="ad">
    <w:name w:val="Table Grid"/>
    <w:basedOn w:val="a2"/>
    <w:uiPriority w:val="39"/>
    <w:rsid w:val="004F74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e">
    <w:name w:val="Hyperlink"/>
    <w:basedOn w:val="a1"/>
    <w:unhideWhenUsed w:val="1"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 w:val="1"/>
    <w:rsid w:val="00CD238C"/>
    <w:rPr>
      <w:b w:val="1"/>
      <w:bCs w:val="1"/>
    </w:rPr>
  </w:style>
  <w:style w:type="paragraph" w:styleId="af0">
    <w:name w:val="No Spacing"/>
    <w:uiPriority w:val="1"/>
    <w:qFormat w:val="1"/>
    <w:rsid w:val="001E2B22"/>
    <w:rPr>
      <w:rFonts w:ascii="Calibri" w:eastAsia="Calibri" w:hAnsi="Calibri"/>
      <w:sz w:val="22"/>
      <w:szCs w:val="22"/>
      <w:lang w:eastAsia="en-US"/>
    </w:rPr>
  </w:style>
  <w:style w:type="character" w:styleId="af1" w:customStyle="1">
    <w:name w:val="!Список с точками Знак"/>
    <w:link w:val="a"/>
    <w:locked w:val="1"/>
    <w:rsid w:val="00AE2B78"/>
    <w:rPr>
      <w:rFonts w:eastAsia="Times New Roman"/>
      <w:sz w:val="22"/>
    </w:rPr>
  </w:style>
  <w:style w:type="paragraph" w:styleId="a" w:customStyle="1">
    <w:name w:val="!Список с точками"/>
    <w:basedOn w:val="a0"/>
    <w:link w:val="af1"/>
    <w:qFormat w:val="1"/>
    <w:rsid w:val="00AE2B78"/>
    <w:pPr>
      <w:numPr>
        <w:numId w:val="2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table" w:styleId="1" w:customStyle="1">
    <w:name w:val="Сетка таблицы1"/>
    <w:basedOn w:val="a2"/>
    <w:next w:val="ad"/>
    <w:uiPriority w:val="39"/>
    <w:rsid w:val="00966467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2">
    <w:name w:val="Revision"/>
    <w:hidden w:val="1"/>
    <w:uiPriority w:val="99"/>
    <w:semiHidden w:val="1"/>
    <w:rsid w:val="00AC70C4"/>
    <w:rPr>
      <w:sz w:val="24"/>
      <w:szCs w:val="24"/>
      <w:lang w:eastAsia="ja-JP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7.png"/><Relationship Id="rId13" Type="http://schemas.openxmlformats.org/officeDocument/2006/relationships/image" Target="media/image10.jp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image" Target="media/image1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owOtW9hnJtE0ga1FhL5HYbyPlA==">AMUW2mWmsZz1yS11UiBA+sqk9Pwk0a52rbk6Mb2UzVuH6P2aGae/VH9zLtgEOMpWYqZrvktFQcmM3/Fk2mmNr4JSlcxeXaAxnxy1QoFZc6AQIYQEzBeUlC8=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2023-03-26T17:32:00Z</dcterms:created>
  <dc:creator>Smirnov;German</dc:creator>
</cp:coreProperties>
</file>